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“中国梦”与当代大学生人生观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2008年美国总统奥巴马的获胜演讲连用七个“we can”（我们能）阐述了美国式的信念和美国梦的真谛，他向美国人民也向世界传达了这样一个希冀和目标“无关出身、种族、民族、社会地位，只要依靠个人不懈的努力、拼搏、奋斗，就能获得美好的生活”。这既是他从因种族问题而难以获得社会认同到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功当选美国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总统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的真实写照，也是他对美国未来的期盼和对美国民众的承诺。这一句“we can”，无论在过去、当下还是未来，都将激励一代又一代的美国青年勇敢无畏的追逐梦想。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2012年，习近平在参观“复兴之路”展览时第一次提出“中国梦”的概念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“实现中华民族的伟大复兴，就是中华民族近代以来最伟大的梦想”，他也向世界传递着这样一个信号“自1840年以来，中国饱受列强侵略，现代化之路步履维艰，无数仁人志士为之奋斗、为之献身，他们的牺牲铸就了今日中华民族复兴的根基，中国正在重新崛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纵观两个大国的梦想，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中国梦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的特色在于将国家、民族、个人作为一个命运的共同体，把国家利益、民族利益和每个人的个体利益都紧紧联系在一起，仍然秉承着传统儒家思想的“家国天下”情怀；而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美国梦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则体现了美国价值观的核心，突出个人的利益追求“民主、自由、机遇和不屈的希望”。诚然，中国梦与美国梦存在诸多方面的差异，但两者却都将“个人的努力”视为梦想实现的重要因素。在美国是“we can”，在中国是“个人梦与中国梦的结合”。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个人的奋斗需要国家提供保障，中国梦的实现则是由一个个微小的个人梦积累汇聚起来的。个人梦如何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与中国梦结合，树立正确的人生观至关重要；树立何种人生观决定了个人梦能否真正实现。我十分敬佩宋朝理学家张载“为天地立心，为生民立命，为往圣继绝学，为万世开太平”的论述，其精练地表达了知识分子仁民爱物、心怀民生、传承学术、开创太平基业的济世救民、家国天下情怀。我认为“横渠四句”也应当是当代大学生树立人生观的标尺、准则。作为新时代的大学生，未来每个人都要奔赴不同的岗位成为国家栋梁，成为各自领域的专家，因此这些未来精英树立何种人生观直接关系到国家未来的走向。“横渠四句”告诫我们要为人刚正，不因外部环境的困扰而改变初心；关心民生，有责任有担当有良知；传承学术，坚守正道发扬真理；开创太平，心怀国家、民族，坚持国家至上、民族至上、人民至上，坚守为国为民的情怀。117年前，有感于戊戌变法失败，梁任公先生曾作《少年中国说》，有“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  <w:t>少年智则国智，少年富则国富；少年强则国强，少年独立则国独立；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······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  <w:t>少年雄于地球，则国雄于地球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慷慨激昂之语。117年后，“中国梦”的实现又何尝不是如此：青年学子刚正，一个国家才能正向发展；青年学子有担当，一个民族才能承担责任；青年学子坚守正道，一个国家才能发扬真理；青年学子树立正确的人生观，一个国家、民族才能有正确的价值观，才能不断披荆斩棘、砥砺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 xml:space="preserve">                                           孔梓菲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 xml:space="preserve">                                            2014201109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154C8"/>
    <w:rsid w:val="145C32F3"/>
    <w:rsid w:val="6A887919"/>
    <w:rsid w:val="6E0813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338DE6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Variable"/>
    <w:basedOn w:val="2"/>
    <w:uiPriority w:val="0"/>
    <w:rPr>
      <w:u w:val="single"/>
    </w:rPr>
  </w:style>
  <w:style w:type="character" w:styleId="8">
    <w:name w:val="Hyperlink"/>
    <w:basedOn w:val="2"/>
    <w:uiPriority w:val="0"/>
    <w:rPr>
      <w:color w:val="338DE6"/>
      <w:u w:val="none"/>
    </w:rPr>
  </w:style>
  <w:style w:type="character" w:styleId="9">
    <w:name w:val="HTML Code"/>
    <w:basedOn w:val="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fontstrikethrough"/>
    <w:basedOn w:val="2"/>
    <w:qFormat/>
    <w:uiPriority w:val="0"/>
    <w:rPr>
      <w:strike/>
    </w:rPr>
  </w:style>
  <w:style w:type="character" w:customStyle="1" w:styleId="15">
    <w:name w:val="fontborder"/>
    <w:basedOn w:val="2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2017-03-15T01:48:45Z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